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23FA7AE"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640695">
              <w:rPr>
                <w:b/>
                <w:sz w:val="40"/>
                <w:szCs w:val="40"/>
              </w:rPr>
              <w:t>Cioburi de sticlă</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61BA5569"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B93AC5">
              <w:rPr>
                <w:b/>
                <w:bCs/>
                <w:sz w:val="40"/>
                <w:szCs w:val="40"/>
                <w:u w:val="single"/>
                <w:lang w:val="en-US"/>
              </w:rPr>
              <w:t>76</w:t>
            </w:r>
            <w:r w:rsidR="00D51628">
              <w:rPr>
                <w:b/>
                <w:bCs/>
                <w:sz w:val="40"/>
                <w:szCs w:val="40"/>
                <w:u w:val="single"/>
              </w:rPr>
              <w:t>/LD-</w:t>
            </w:r>
            <w:r w:rsidR="00637065">
              <w:rPr>
                <w:b/>
                <w:bCs/>
                <w:sz w:val="40"/>
                <w:szCs w:val="40"/>
                <w:u w:val="single"/>
              </w:rPr>
              <w:t>2025</w:t>
            </w:r>
            <w:r w:rsidR="003F7DD9" w:rsidRPr="003F7DD9">
              <w:rPr>
                <w:b/>
                <w:bCs/>
                <w:sz w:val="40"/>
                <w:szCs w:val="40"/>
                <w:u w:val="single"/>
              </w:rPr>
              <w:t xml:space="preserve"> din </w:t>
            </w:r>
            <w:r w:rsidR="00B93AC5">
              <w:rPr>
                <w:b/>
                <w:bCs/>
                <w:sz w:val="40"/>
                <w:szCs w:val="40"/>
                <w:u w:val="single"/>
                <w:lang w:val="en-US"/>
              </w:rPr>
              <w:t>23.06.2025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970A429" w:rsidR="00340938" w:rsidRPr="00E876A4" w:rsidRDefault="00640695" w:rsidP="00340938">
                        <w:pPr>
                          <w:pStyle w:val="a7"/>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5B179040" w:rsidR="00340938" w:rsidRPr="005F40EC" w:rsidRDefault="00340938" w:rsidP="00340938">
                        <w:pPr>
                          <w:pStyle w:val="a7"/>
                          <w:rPr>
                            <w:b/>
                            <w:szCs w:val="24"/>
                            <w:u w:val="single"/>
                          </w:rPr>
                        </w:pPr>
                        <w:r w:rsidRPr="00874386">
                          <w:rPr>
                            <w:b/>
                            <w:i/>
                            <w:sz w:val="22"/>
                            <w:szCs w:val="22"/>
                          </w:rPr>
                          <w:t>Nr.:</w:t>
                        </w:r>
                        <w:r w:rsidR="00B93AC5">
                          <w:rPr>
                            <w:b/>
                            <w:i/>
                            <w:sz w:val="22"/>
                            <w:szCs w:val="22"/>
                          </w:rPr>
                          <w:t>76</w:t>
                        </w:r>
                        <w:r>
                          <w:rPr>
                            <w:b/>
                            <w:i/>
                            <w:iCs/>
                            <w:szCs w:val="24"/>
                            <w:u w:val="single"/>
                          </w:rPr>
                          <w:t>/LD-</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22DA77D" w:rsidR="00340938" w:rsidRPr="00D51628" w:rsidRDefault="00246A1E" w:rsidP="00D51628">
                        <w:pPr>
                          <w:spacing w:line="360" w:lineRule="auto"/>
                          <w:jc w:val="both"/>
                          <w:rPr>
                            <w:rFonts w:ascii="Baltica RR" w:hAnsi="Baltica RR"/>
                            <w:b/>
                            <w:i/>
                            <w:noProof w:val="0"/>
                            <w:u w:val="single"/>
                            <w:shd w:val="clear" w:color="auto" w:fill="FFFFFF" w:themeFill="background1"/>
                          </w:rPr>
                        </w:pPr>
                        <w:proofErr w:type="spellStart"/>
                        <w:r>
                          <w:rPr>
                            <w:rFonts w:ascii="Baltica RR" w:hAnsi="Baltica RR"/>
                            <w:b/>
                            <w:i/>
                            <w:noProof w:val="0"/>
                            <w:u w:val="single"/>
                            <w:shd w:val="clear" w:color="auto" w:fill="FFFFFF" w:themeFill="background1"/>
                          </w:rPr>
                          <w:t>Licitatie</w:t>
                        </w:r>
                        <w:proofErr w:type="spellEnd"/>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7D1BEDEC" w14:textId="77777777" w:rsidR="00291C96" w:rsidRPr="003F22E6" w:rsidRDefault="00291C96" w:rsidP="00291C96">
                  <w:pPr>
                    <w:rPr>
                      <w:b/>
                      <w:bCs/>
                      <w:iCs/>
                    </w:rPr>
                  </w:pPr>
                  <w:r w:rsidRPr="003F22E6">
                    <w:rPr>
                      <w:b/>
                      <w:bCs/>
                      <w:iCs/>
                    </w:rPr>
                    <w:t>Cioburi de sticlă incoloră,</w:t>
                  </w:r>
                </w:p>
                <w:p w14:paraId="78BF7D9A" w14:textId="3383627B" w:rsidR="00D51628" w:rsidRPr="00291C96" w:rsidRDefault="00291C96" w:rsidP="00291C96">
                  <w:pPr>
                    <w:ind w:left="-57" w:right="-155"/>
                    <w:rPr>
                      <w:rStyle w:val="afa"/>
                      <w:b/>
                      <w:bCs/>
                      <w:color w:val="000000"/>
                      <w:lang w:val="ro-RO" w:eastAsia="tr-TR"/>
                    </w:rPr>
                  </w:pPr>
                  <w:r w:rsidRPr="003F22E6">
                    <w:rPr>
                      <w:b/>
                      <w:bCs/>
                      <w:iCs/>
                    </w:rPr>
                    <w:t>spălată, sortată, fără impurități, uscată</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6A83855" w:rsidR="00D51628" w:rsidRPr="00431BC9" w:rsidRDefault="00291C96" w:rsidP="00D51628">
                  <w:pPr>
                    <w:jc w:val="center"/>
                  </w:pPr>
                  <w:r>
                    <w:t>2000</w:t>
                  </w:r>
                </w:p>
              </w:tc>
              <w:tc>
                <w:tcPr>
                  <w:tcW w:w="3115" w:type="dxa"/>
                  <w:shd w:val="clear" w:color="auto" w:fill="auto"/>
                </w:tcPr>
                <w:p w14:paraId="70EAF34E" w14:textId="77777777" w:rsidR="00291C96" w:rsidRPr="003F22E6" w:rsidRDefault="001B740C" w:rsidP="00291C96">
                  <w:pPr>
                    <w:rPr>
                      <w:bCs/>
                    </w:rPr>
                  </w:pPr>
                  <w:r w:rsidRPr="001412E3">
                    <w:rPr>
                      <w:rStyle w:val="Bodytext2BookmanOldStyle"/>
                      <w:b/>
                      <w:bCs/>
                      <w:color w:val="000000"/>
                      <w:sz w:val="20"/>
                      <w:szCs w:val="20"/>
                    </w:rPr>
                    <w:t xml:space="preserve">GOST </w:t>
                  </w:r>
                  <w:r w:rsidR="00291C96" w:rsidRPr="003F22E6">
                    <w:rPr>
                      <w:bCs/>
                    </w:rPr>
                    <w:t>Codul mărfii 7001001000;</w:t>
                  </w:r>
                </w:p>
                <w:p w14:paraId="0084FA3D" w14:textId="77777777" w:rsidR="00291C96" w:rsidRPr="003F22E6" w:rsidRDefault="00291C96" w:rsidP="00291C96">
                  <w:pPr>
                    <w:rPr>
                      <w:bCs/>
                    </w:rPr>
                  </w:pPr>
                  <w:r w:rsidRPr="003F22E6">
                    <w:rPr>
                      <w:bCs/>
                    </w:rPr>
                    <w:t xml:space="preserve">SM GOST R 52233: 2005  </w:t>
                  </w:r>
                </w:p>
                <w:p w14:paraId="0880B63A"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4CDB8E2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1DE99DFD"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265EC20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1C46A5EB"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5D57E942"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09C6E5C"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5C4269AE"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7ADD2321"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1099B0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08CF2DDC" w14:textId="77777777" w:rsidR="00291C96" w:rsidRPr="003F22E6" w:rsidRDefault="00291C96" w:rsidP="00291C96">
                  <w:pPr>
                    <w:rPr>
                      <w:bCs/>
                    </w:rPr>
                  </w:pPr>
                  <w:r w:rsidRPr="003F22E6">
                    <w:rPr>
                      <w:bCs/>
                    </w:rPr>
                    <w:t>a obiectelor metalice nemagnetizante (crom, plumb, aluminiu, ş.a.);</w:t>
                  </w:r>
                </w:p>
                <w:p w14:paraId="0F1F0141" w14:textId="77777777" w:rsidR="00291C96" w:rsidRPr="003F22E6" w:rsidRDefault="00291C96" w:rsidP="00291C96">
                  <w:pPr>
                    <w:rPr>
                      <w:bCs/>
                    </w:rPr>
                  </w:pPr>
                  <w:r w:rsidRPr="003F22E6">
                    <w:t xml:space="preserve">*  </w:t>
                  </w:r>
                  <w:r w:rsidRPr="003F22E6">
                    <w:rPr>
                      <w:b/>
                      <w:bCs/>
                    </w:rPr>
                    <w:t>prezentarea mostrei – obligatoriu</w:t>
                  </w:r>
                </w:p>
                <w:p w14:paraId="5FBC011B" w14:textId="337FD429" w:rsidR="00D51628" w:rsidRPr="0040218E" w:rsidRDefault="00D5162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p>
              </w:tc>
            </w:tr>
          </w:tbl>
          <w:p w14:paraId="3C7D778B" w14:textId="77777777" w:rsidR="003E528F" w:rsidRPr="0040218E" w:rsidRDefault="003E528F" w:rsidP="003E528F">
            <w:pPr>
              <w:rPr>
                <w:lang w:val="ro-MD"/>
              </w:rPr>
            </w:pPr>
          </w:p>
          <w:p w14:paraId="345FD81A" w14:textId="77777777" w:rsidR="003E528F" w:rsidRDefault="003E528F" w:rsidP="003E528F">
            <w:pPr>
              <w:rPr>
                <w:lang w:val="ro-MD"/>
              </w:rPr>
            </w:pPr>
          </w:p>
          <w:p w14:paraId="4760B97A" w14:textId="77777777" w:rsidR="00246A1E" w:rsidRDefault="00246A1E" w:rsidP="003E528F">
            <w:pPr>
              <w:rPr>
                <w:lang w:val="ro-MD"/>
              </w:rPr>
            </w:pPr>
          </w:p>
          <w:p w14:paraId="0D7362E6" w14:textId="77777777" w:rsidR="00246A1E" w:rsidRDefault="00246A1E" w:rsidP="003E528F">
            <w:pPr>
              <w:rPr>
                <w:lang w:val="ro-MD"/>
              </w:rPr>
            </w:pPr>
          </w:p>
          <w:p w14:paraId="5015468D" w14:textId="77777777" w:rsidR="00246A1E" w:rsidRDefault="00246A1E" w:rsidP="003E528F">
            <w:pPr>
              <w:rPr>
                <w:lang w:val="ro-MD"/>
              </w:rPr>
            </w:pPr>
          </w:p>
          <w:p w14:paraId="0BACD6C4" w14:textId="77777777" w:rsidR="00246A1E" w:rsidRDefault="00246A1E" w:rsidP="003E528F">
            <w:pPr>
              <w:rPr>
                <w:lang w:val="ro-MD"/>
              </w:rPr>
            </w:pPr>
          </w:p>
          <w:p w14:paraId="0DEABA8B" w14:textId="77777777" w:rsidR="00246A1E" w:rsidRPr="0040218E" w:rsidRDefault="00246A1E"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29860949"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B93AC5">
                    <w:rPr>
                      <w:i/>
                      <w:sz w:val="22"/>
                      <w:szCs w:val="22"/>
                    </w:rPr>
                    <w:t>76</w:t>
                  </w:r>
                  <w:r w:rsidR="00646957">
                    <w:rPr>
                      <w:i/>
                      <w:sz w:val="22"/>
                      <w:szCs w:val="22"/>
                    </w:rPr>
                    <w:t>/LD-</w:t>
                  </w:r>
                  <w:r w:rsidR="00637065">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6C16D4ED"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E15BC0">
                    <w:rPr>
                      <w:bCs/>
                      <w:i/>
                      <w:sz w:val="22"/>
                      <w:szCs w:val="22"/>
                      <w:lang w:val="ro-RO"/>
                    </w:rPr>
                    <w:t xml:space="preserve">31 </w:t>
                  </w:r>
                  <w:r w:rsidR="00B93AC5">
                    <w:rPr>
                      <w:bCs/>
                      <w:i/>
                      <w:sz w:val="22"/>
                      <w:szCs w:val="22"/>
                      <w:lang w:val="ro-RO"/>
                    </w:rPr>
                    <w:t>august</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2BBB7E70"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B93AC5">
                    <w:t>23.06.2025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5E8B5481"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00B93AC5">
                    <w:rPr>
                      <w:shd w:val="clear" w:color="auto" w:fill="FFFFFF" w:themeFill="background1"/>
                    </w:rPr>
                    <w:t>23.06.2025</w:t>
                  </w:r>
                </w:p>
                <w:p w14:paraId="652DC89F" w14:textId="7BB7AF8A"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755DB010"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B93AC5">
                    <w:rPr>
                      <w:b/>
                      <w:shd w:val="clear" w:color="auto" w:fill="FFFFFF" w:themeFill="background1"/>
                    </w:rPr>
                    <w:t>23.06.2025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lastRenderedPageBreak/>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4C6785D9"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B93AC5">
                    <w:rPr>
                      <w:i/>
                      <w:color w:val="000000" w:themeColor="text1"/>
                      <w:sz w:val="22"/>
                      <w:szCs w:val="22"/>
                    </w:rPr>
                    <w:t>76</w:t>
                  </w:r>
                  <w:r>
                    <w:rPr>
                      <w:i/>
                      <w:color w:val="000000" w:themeColor="text1"/>
                      <w:sz w:val="22"/>
                      <w:szCs w:val="22"/>
                    </w:rPr>
                    <w:t>/LD-</w:t>
                  </w:r>
                  <w:r w:rsidR="00637065">
                    <w:rPr>
                      <w:i/>
                      <w:color w:val="000000" w:themeColor="text1"/>
                      <w:sz w:val="22"/>
                      <w:szCs w:val="22"/>
                    </w:rPr>
                    <w:t>2025</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lastRenderedPageBreak/>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lastRenderedPageBreak/>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13072A0A" w14:textId="77777777" w:rsidR="00291C96" w:rsidRPr="003F22E6" w:rsidRDefault="00291C96" w:rsidP="00291C96">
            <w:pPr>
              <w:rPr>
                <w:b/>
                <w:bCs/>
                <w:iCs/>
              </w:rPr>
            </w:pPr>
            <w:r w:rsidRPr="003F22E6">
              <w:rPr>
                <w:b/>
                <w:bCs/>
                <w:iCs/>
              </w:rPr>
              <w:t>Cioburi de sticlă incoloră,</w:t>
            </w:r>
          </w:p>
          <w:p w14:paraId="078CCB40" w14:textId="14E4855F" w:rsidR="008907E1" w:rsidRPr="008F0A97" w:rsidRDefault="00291C96" w:rsidP="00291C96">
            <w:pPr>
              <w:rPr>
                <w:b/>
                <w:bCs/>
                <w:sz w:val="20"/>
                <w:szCs w:val="20"/>
              </w:rPr>
            </w:pPr>
            <w:r w:rsidRPr="003F22E6">
              <w:rPr>
                <w:b/>
                <w:bCs/>
                <w:iCs/>
              </w:rPr>
              <w:t>spălată, sortată, fără impurități, uscată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FDB4755" w14:textId="77777777" w:rsidR="00291C96" w:rsidRPr="003F22E6" w:rsidRDefault="00291C96" w:rsidP="00291C96">
            <w:pPr>
              <w:rPr>
                <w:bCs/>
              </w:rPr>
            </w:pPr>
            <w:r w:rsidRPr="003F22E6">
              <w:rPr>
                <w:bCs/>
              </w:rPr>
              <w:t>Codul mărfii 7001001000;</w:t>
            </w:r>
          </w:p>
          <w:p w14:paraId="7A4C6CBB" w14:textId="77777777" w:rsidR="00291C96" w:rsidRPr="003F22E6" w:rsidRDefault="00291C96" w:rsidP="00291C96">
            <w:pPr>
              <w:rPr>
                <w:bCs/>
              </w:rPr>
            </w:pPr>
            <w:r w:rsidRPr="003F22E6">
              <w:rPr>
                <w:bCs/>
              </w:rPr>
              <w:t xml:space="preserve">SM GOST R 52233: 2005  </w:t>
            </w:r>
          </w:p>
          <w:p w14:paraId="60F42E81"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12A8EC5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757FD1DE"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43A3330D"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66EA47D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44D4212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908F1F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07387DC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1D3E39B3"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77384B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45C51936"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3565184A"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0261A966"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77AC71B6" w14:textId="77777777" w:rsidR="00291C96" w:rsidRPr="003F22E6" w:rsidRDefault="00291C96" w:rsidP="00291C96">
            <w:pPr>
              <w:rPr>
                <w:bCs/>
              </w:rPr>
            </w:pPr>
            <w:r w:rsidRPr="003F22E6">
              <w:rPr>
                <w:bCs/>
              </w:rPr>
              <w:lastRenderedPageBreak/>
              <w:t>a obiectelor metalice nemagnetizante (crom, plumb, aluminiu, ş.a.);</w:t>
            </w:r>
          </w:p>
          <w:p w14:paraId="2D935426" w14:textId="77777777" w:rsidR="00291C96" w:rsidRPr="003F22E6" w:rsidRDefault="00291C96" w:rsidP="00291C96">
            <w:pPr>
              <w:rPr>
                <w:bCs/>
              </w:rPr>
            </w:pPr>
            <w:r w:rsidRPr="003F22E6">
              <w:t xml:space="preserve">*  </w:t>
            </w:r>
            <w:r w:rsidRPr="003F22E6">
              <w:rPr>
                <w:b/>
                <w:bCs/>
              </w:rPr>
              <w:t>prezentarea mostrei – obligatoriu</w:t>
            </w:r>
          </w:p>
          <w:p w14:paraId="268FD21D" w14:textId="4DC37E90" w:rsidR="008907E1" w:rsidRPr="0040218E" w:rsidRDefault="008907E1" w:rsidP="001B740C">
            <w:pPr>
              <w:rPr>
                <w:sz w:val="16"/>
                <w:szCs w:val="16"/>
                <w:lang w:val="ro-MD"/>
              </w:rPr>
            </w:pP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B93AC5">
                  <w:pPr>
                    <w:pStyle w:val="2"/>
                    <w:framePr w:hSpace="180" w:wrap="around" w:vAnchor="page" w:hAnchor="margin" w:y="347"/>
                    <w:rPr>
                      <w:sz w:val="24"/>
                      <w:lang w:val="en-US"/>
                    </w:rPr>
                  </w:pPr>
                  <w:bookmarkStart w:id="29" w:name="_Toc392180207"/>
                  <w:bookmarkStart w:id="30" w:name="_Toc449539096"/>
                  <w:r w:rsidRPr="00C00499">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B93AC5">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B93AC5">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B93AC5">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B93AC5">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B93AC5">
                  <w:pPr>
                    <w:framePr w:hSpace="180" w:wrap="around" w:vAnchor="page" w:hAnchor="margin" w:y="347"/>
                  </w:pPr>
                </w:p>
              </w:tc>
              <w:tc>
                <w:tcPr>
                  <w:tcW w:w="1836" w:type="dxa"/>
                </w:tcPr>
                <w:p w14:paraId="1C8861D1" w14:textId="77777777" w:rsidR="008907E1" w:rsidRPr="00C00499" w:rsidRDefault="008907E1" w:rsidP="00B93AC5">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B93AC5">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B93AC5">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B93AC5">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B93AC5">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B93AC5">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B93AC5">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B93AC5">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B93AC5">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B93AC5">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B93AC5">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B93AC5">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B93AC5">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B93AC5">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B93AC5">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B93AC5">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B93AC5">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B93AC5">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B93AC5">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B93AC5">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B93AC5">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B93AC5">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B93AC5">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B93AC5">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B93AC5">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B93AC5">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B93AC5">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B93AC5">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B93AC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B93AC5">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B93AC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B93AC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B93AC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B93AC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B93AC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B93AC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B93AC5">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B93AC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B93AC5">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B93AC5">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B93AC5">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B93AC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B93AC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B93AC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B93AC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B93AC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08E0FD05" w:rsidR="008907E1" w:rsidRPr="000B3355" w:rsidRDefault="00646957" w:rsidP="00B93AC5">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E15BC0">
                    <w:rPr>
                      <w:sz w:val="16"/>
                      <w:szCs w:val="16"/>
                    </w:rPr>
                    <w:t xml:space="preserve">31 </w:t>
                  </w:r>
                  <w:r w:rsidR="00B93AC5">
                    <w:rPr>
                      <w:sz w:val="16"/>
                      <w:szCs w:val="16"/>
                    </w:rPr>
                    <w:t>august</w:t>
                  </w:r>
                  <w:r w:rsidR="00CB45C9">
                    <w:rPr>
                      <w:sz w:val="16"/>
                      <w:szCs w:val="16"/>
                    </w:rPr>
                    <w:t xml:space="preserve">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B93AC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B93AC5">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B93AC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B93AC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B93AC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B93AC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B93AC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B93AC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B93AC5">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B93AC5">
                  <w:pPr>
                    <w:framePr w:hSpace="180" w:wrap="around" w:vAnchor="page" w:hAnchor="margin" w:y="347"/>
                    <w:tabs>
                      <w:tab w:val="left" w:pos="6120"/>
                    </w:tabs>
                    <w:rPr>
                      <w:sz w:val="20"/>
                    </w:rPr>
                  </w:pPr>
                </w:p>
                <w:p w14:paraId="2E7BB796" w14:textId="77777777" w:rsidR="008907E1" w:rsidRPr="0028367D" w:rsidRDefault="008907E1" w:rsidP="00B93AC5">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B93AC5">
                  <w:pPr>
                    <w:framePr w:hSpace="180" w:wrap="around" w:vAnchor="page" w:hAnchor="margin" w:y="347"/>
                    <w:rPr>
                      <w:sz w:val="20"/>
                    </w:rPr>
                  </w:pPr>
                </w:p>
                <w:p w14:paraId="1029A9A5" w14:textId="4360CD36" w:rsidR="008907E1" w:rsidRPr="0028367D" w:rsidRDefault="008907E1" w:rsidP="00B93AC5">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B93AC5">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B93AC5">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5839" w14:textId="77777777" w:rsidR="003C29AE" w:rsidRDefault="003C29AE" w:rsidP="00B41118">
      <w:r>
        <w:separator/>
      </w:r>
    </w:p>
  </w:endnote>
  <w:endnote w:type="continuationSeparator" w:id="0">
    <w:p w14:paraId="70E01B8F" w14:textId="77777777" w:rsidR="003C29AE" w:rsidRDefault="003C29AE"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5F02" w14:textId="77777777" w:rsidR="003C29AE" w:rsidRDefault="003C29AE" w:rsidP="00B41118">
      <w:r>
        <w:separator/>
      </w:r>
    </w:p>
  </w:footnote>
  <w:footnote w:type="continuationSeparator" w:id="0">
    <w:p w14:paraId="37F5971D" w14:textId="77777777" w:rsidR="003C29AE" w:rsidRDefault="003C29AE"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95FCC"/>
    <w:rsid w:val="000B3355"/>
    <w:rsid w:val="000B4A02"/>
    <w:rsid w:val="000C05DD"/>
    <w:rsid w:val="000C0843"/>
    <w:rsid w:val="000D1238"/>
    <w:rsid w:val="000E46B3"/>
    <w:rsid w:val="000F62A5"/>
    <w:rsid w:val="000F6CC7"/>
    <w:rsid w:val="00116B60"/>
    <w:rsid w:val="00126D0C"/>
    <w:rsid w:val="00135974"/>
    <w:rsid w:val="00140A5D"/>
    <w:rsid w:val="00140B93"/>
    <w:rsid w:val="0014104F"/>
    <w:rsid w:val="0014352C"/>
    <w:rsid w:val="00143934"/>
    <w:rsid w:val="00144607"/>
    <w:rsid w:val="00156AEA"/>
    <w:rsid w:val="0016096F"/>
    <w:rsid w:val="0016476A"/>
    <w:rsid w:val="00176A7B"/>
    <w:rsid w:val="00190A98"/>
    <w:rsid w:val="001A2668"/>
    <w:rsid w:val="001A69CA"/>
    <w:rsid w:val="001A76F1"/>
    <w:rsid w:val="001B740C"/>
    <w:rsid w:val="001C1A2C"/>
    <w:rsid w:val="001C7404"/>
    <w:rsid w:val="001E08F6"/>
    <w:rsid w:val="001E34D6"/>
    <w:rsid w:val="0020610C"/>
    <w:rsid w:val="00216140"/>
    <w:rsid w:val="00216CFD"/>
    <w:rsid w:val="00220C08"/>
    <w:rsid w:val="00225297"/>
    <w:rsid w:val="0022594E"/>
    <w:rsid w:val="00246A1E"/>
    <w:rsid w:val="002613F5"/>
    <w:rsid w:val="00270EA3"/>
    <w:rsid w:val="002724A2"/>
    <w:rsid w:val="002822C6"/>
    <w:rsid w:val="00282527"/>
    <w:rsid w:val="00284711"/>
    <w:rsid w:val="00284B1E"/>
    <w:rsid w:val="00285830"/>
    <w:rsid w:val="00291C96"/>
    <w:rsid w:val="00294B4B"/>
    <w:rsid w:val="002A4B7F"/>
    <w:rsid w:val="002B1A26"/>
    <w:rsid w:val="002B5D14"/>
    <w:rsid w:val="002C347F"/>
    <w:rsid w:val="002C4161"/>
    <w:rsid w:val="002D10C6"/>
    <w:rsid w:val="002D3645"/>
    <w:rsid w:val="002D5332"/>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C29AE"/>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1377"/>
    <w:rsid w:val="00543E41"/>
    <w:rsid w:val="00552489"/>
    <w:rsid w:val="0055686A"/>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069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A5006"/>
    <w:rsid w:val="008B1340"/>
    <w:rsid w:val="008C3A59"/>
    <w:rsid w:val="008C61F6"/>
    <w:rsid w:val="008C7482"/>
    <w:rsid w:val="008E5BA1"/>
    <w:rsid w:val="008F0A97"/>
    <w:rsid w:val="008F7800"/>
    <w:rsid w:val="008F7AF6"/>
    <w:rsid w:val="00901BF2"/>
    <w:rsid w:val="0090490A"/>
    <w:rsid w:val="00915B1C"/>
    <w:rsid w:val="0092048E"/>
    <w:rsid w:val="00925D0E"/>
    <w:rsid w:val="00940DC5"/>
    <w:rsid w:val="00941DDE"/>
    <w:rsid w:val="009458A7"/>
    <w:rsid w:val="0094706F"/>
    <w:rsid w:val="00984DE7"/>
    <w:rsid w:val="00994607"/>
    <w:rsid w:val="009A5014"/>
    <w:rsid w:val="009C0D95"/>
    <w:rsid w:val="009C718F"/>
    <w:rsid w:val="009D4EE3"/>
    <w:rsid w:val="009E4CFC"/>
    <w:rsid w:val="009E6D20"/>
    <w:rsid w:val="009F26CF"/>
    <w:rsid w:val="00A0110C"/>
    <w:rsid w:val="00A01D95"/>
    <w:rsid w:val="00A01E0B"/>
    <w:rsid w:val="00A04480"/>
    <w:rsid w:val="00A20B9F"/>
    <w:rsid w:val="00A24CB9"/>
    <w:rsid w:val="00A31E76"/>
    <w:rsid w:val="00A374DB"/>
    <w:rsid w:val="00A40262"/>
    <w:rsid w:val="00A51DA6"/>
    <w:rsid w:val="00A52C7C"/>
    <w:rsid w:val="00A7275B"/>
    <w:rsid w:val="00A7492C"/>
    <w:rsid w:val="00A76B48"/>
    <w:rsid w:val="00A86CC9"/>
    <w:rsid w:val="00A91632"/>
    <w:rsid w:val="00A9298B"/>
    <w:rsid w:val="00A951F9"/>
    <w:rsid w:val="00A96D17"/>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3AC5"/>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0CF4"/>
    <w:rsid w:val="00CB45C9"/>
    <w:rsid w:val="00CC1166"/>
    <w:rsid w:val="00CC1DED"/>
    <w:rsid w:val="00CC4155"/>
    <w:rsid w:val="00CC6C45"/>
    <w:rsid w:val="00CF62E5"/>
    <w:rsid w:val="00CF6353"/>
    <w:rsid w:val="00D0159E"/>
    <w:rsid w:val="00D0181A"/>
    <w:rsid w:val="00D128AF"/>
    <w:rsid w:val="00D20709"/>
    <w:rsid w:val="00D23B84"/>
    <w:rsid w:val="00D30E71"/>
    <w:rsid w:val="00D42569"/>
    <w:rsid w:val="00D51628"/>
    <w:rsid w:val="00D80ED1"/>
    <w:rsid w:val="00D82AD1"/>
    <w:rsid w:val="00DB283C"/>
    <w:rsid w:val="00DB5013"/>
    <w:rsid w:val="00DC6C0A"/>
    <w:rsid w:val="00DD144F"/>
    <w:rsid w:val="00DD5056"/>
    <w:rsid w:val="00DD591B"/>
    <w:rsid w:val="00DE77D5"/>
    <w:rsid w:val="00DF0397"/>
    <w:rsid w:val="00E15BC0"/>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5172</Words>
  <Characters>29485</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2025-06-02T11:45:00Z</dcterms:created>
  <dcterms:modified xsi:type="dcterms:W3CDTF">2025-06-02T11:45:00Z</dcterms:modified>
</cp:coreProperties>
</file>