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797B082"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4827C9">
              <w:rPr>
                <w:b/>
                <w:bCs/>
                <w:iCs/>
                <w:sz w:val="36"/>
                <w:szCs w:val="36"/>
              </w:rPr>
              <w:t>Servicii de furnizare a gazelor  naturale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20C4B98F"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3F5BFB" w:rsidRPr="003F5BFB">
              <w:rPr>
                <w:b/>
                <w:sz w:val="36"/>
                <w:szCs w:val="36"/>
                <w:u w:val="single"/>
              </w:rPr>
              <w:t>Negociere</w:t>
            </w:r>
            <w:r w:rsidR="00E93379">
              <w:rPr>
                <w:b/>
                <w:bCs/>
                <w:sz w:val="36"/>
                <w:szCs w:val="36"/>
                <w:u w:val="single"/>
              </w:rPr>
              <w:t xml:space="preserve"> nr.</w:t>
            </w:r>
            <w:r w:rsidR="00BA2A12">
              <w:rPr>
                <w:b/>
                <w:bCs/>
                <w:sz w:val="36"/>
                <w:szCs w:val="36"/>
                <w:u w:val="single"/>
              </w:rPr>
              <w:t>214</w:t>
            </w:r>
            <w:r w:rsidR="00E93379">
              <w:rPr>
                <w:b/>
                <w:bCs/>
                <w:sz w:val="36"/>
                <w:szCs w:val="36"/>
                <w:u w:val="single"/>
              </w:rPr>
              <w:t>/</w:t>
            </w:r>
            <w:r w:rsidR="001514C2">
              <w:rPr>
                <w:b/>
                <w:bCs/>
                <w:sz w:val="36"/>
                <w:szCs w:val="36"/>
                <w:u w:val="single"/>
              </w:rPr>
              <w:t>N</w:t>
            </w:r>
            <w:r w:rsidR="00E93379">
              <w:rPr>
                <w:b/>
                <w:bCs/>
                <w:sz w:val="36"/>
                <w:szCs w:val="36"/>
                <w:u w:val="single"/>
              </w:rPr>
              <w:t>-</w:t>
            </w:r>
            <w:r w:rsidR="00093616">
              <w:rPr>
                <w:b/>
                <w:bCs/>
                <w:sz w:val="36"/>
                <w:szCs w:val="36"/>
                <w:u w:val="single"/>
              </w:rPr>
              <w:t>2024</w:t>
            </w:r>
            <w:r w:rsidR="00CA0B49">
              <w:rPr>
                <w:b/>
                <w:bCs/>
                <w:sz w:val="36"/>
                <w:szCs w:val="36"/>
                <w:u w:val="single"/>
              </w:rPr>
              <w:t xml:space="preserve"> </w:t>
            </w:r>
            <w:r w:rsidR="00ED2F79">
              <w:rPr>
                <w:b/>
                <w:bCs/>
                <w:sz w:val="36"/>
                <w:szCs w:val="36"/>
                <w:u w:val="single"/>
              </w:rPr>
              <w:t xml:space="preserve">din </w:t>
            </w:r>
            <w:r w:rsidR="00975F7A">
              <w:rPr>
                <w:b/>
                <w:bCs/>
                <w:sz w:val="36"/>
                <w:szCs w:val="36"/>
                <w:u w:val="single"/>
              </w:rPr>
              <w:t>05.</w:t>
            </w:r>
            <w:r w:rsidR="00BA2A12">
              <w:rPr>
                <w:b/>
                <w:bCs/>
                <w:sz w:val="36"/>
                <w:szCs w:val="36"/>
                <w:u w:val="single"/>
              </w:rPr>
              <w:t>12</w:t>
            </w:r>
            <w:r w:rsidR="00975F7A">
              <w:rPr>
                <w:b/>
                <w:bCs/>
                <w:sz w:val="36"/>
                <w:szCs w:val="36"/>
                <w:u w:val="single"/>
              </w:rPr>
              <w:t>.2024</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3AF903DF" w:rsidR="00B41118" w:rsidRPr="00E93379" w:rsidRDefault="004827C9" w:rsidP="00303B09">
                  <w:pPr>
                    <w:rPr>
                      <w:b/>
                      <w:i/>
                      <w:szCs w:val="22"/>
                      <w:lang w:val="ro-MD"/>
                    </w:rPr>
                  </w:pPr>
                  <w:r>
                    <w:rPr>
                      <w:b/>
                      <w:bCs/>
                      <w:iCs/>
                      <w:sz w:val="22"/>
                    </w:rPr>
                    <w:t>Servicii de furnizare a gazelor naturale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4AFFBD0A" w:rsidR="00B41118" w:rsidRPr="005F40EC" w:rsidRDefault="00B41118" w:rsidP="00AE077C">
                  <w:pPr>
                    <w:pStyle w:val="a8"/>
                    <w:rPr>
                      <w:b/>
                      <w:szCs w:val="24"/>
                      <w:u w:val="single"/>
                    </w:rPr>
                  </w:pPr>
                  <w:r w:rsidRPr="00874386">
                    <w:rPr>
                      <w:b/>
                      <w:i/>
                      <w:sz w:val="22"/>
                      <w:szCs w:val="22"/>
                    </w:rPr>
                    <w:t>Nr.:</w:t>
                  </w:r>
                  <w:r w:rsidR="00BA2A12">
                    <w:rPr>
                      <w:b/>
                      <w:i/>
                      <w:sz w:val="22"/>
                      <w:szCs w:val="22"/>
                    </w:rPr>
                    <w:t>214</w:t>
                  </w:r>
                  <w:r w:rsidR="00823A1B">
                    <w:rPr>
                      <w:b/>
                      <w:i/>
                      <w:iCs/>
                      <w:szCs w:val="24"/>
                      <w:u w:val="single"/>
                    </w:rPr>
                    <w:t>/</w:t>
                  </w:r>
                  <w:r w:rsidR="001514C2">
                    <w:rPr>
                      <w:b/>
                      <w:i/>
                      <w:iCs/>
                      <w:szCs w:val="24"/>
                      <w:u w:val="single"/>
                    </w:rPr>
                    <w:t>N</w:t>
                  </w:r>
                  <w:r w:rsidR="00823A1B">
                    <w:rPr>
                      <w:b/>
                      <w:i/>
                      <w:iCs/>
                      <w:szCs w:val="24"/>
                      <w:u w:val="single"/>
                    </w:rPr>
                    <w:t>-202</w:t>
                  </w:r>
                  <w:r w:rsidR="00093616">
                    <w:rPr>
                      <w:b/>
                      <w:i/>
                      <w:iCs/>
                      <w:szCs w:val="24"/>
                      <w:u w:val="single"/>
                    </w:rPr>
                    <w:t>4</w:t>
                  </w:r>
                </w:p>
                <w:p w14:paraId="1F5D4DB1" w14:textId="59BCD2BB"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3F5BFB">
                    <w:rPr>
                      <w:b/>
                      <w:i/>
                      <w:sz w:val="22"/>
                      <w:szCs w:val="22"/>
                    </w:rPr>
                    <w:t>Negociere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5281165C" w:rsidR="00B41118" w:rsidRPr="00E93379" w:rsidRDefault="004827C9" w:rsidP="00AE077C">
                  <w:pPr>
                    <w:pStyle w:val="a8"/>
                    <w:rPr>
                      <w:b/>
                      <w:i/>
                      <w:szCs w:val="22"/>
                      <w:lang w:val="ro-MD"/>
                    </w:rPr>
                  </w:pPr>
                  <w:r>
                    <w:rPr>
                      <w:b/>
                      <w:bCs/>
                      <w:iCs/>
                      <w:sz w:val="22"/>
                    </w:rPr>
                    <w:t xml:space="preserve">Servicii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67803A35" w:rsidR="00EE30F9" w:rsidRPr="00E876A4" w:rsidRDefault="00EE30F9" w:rsidP="00AE077C">
                  <w:pPr>
                    <w:pStyle w:val="a8"/>
                    <w:rPr>
                      <w:b/>
                      <w:i/>
                      <w:szCs w:val="22"/>
                    </w:rPr>
                  </w:pPr>
                  <w:r w:rsidRPr="00E876A4">
                    <w:rPr>
                      <w:b/>
                      <w:i/>
                      <w:sz w:val="22"/>
                      <w:szCs w:val="22"/>
                    </w:rPr>
                    <w:t xml:space="preserve">perioada bugetară </w:t>
                  </w:r>
                  <w:r w:rsidR="00093616">
                    <w:rPr>
                      <w:b/>
                      <w:i/>
                      <w:sz w:val="22"/>
                      <w:szCs w:val="22"/>
                    </w:rPr>
                    <w:t>2024</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1DEFC427" w:rsidR="00B41118" w:rsidRPr="00E74948" w:rsidRDefault="004827C9"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proofErr w:type="gramStart"/>
                  <w:r>
                    <w:rPr>
                      <w:b/>
                      <w:i/>
                    </w:rPr>
                    <w:t>Prestare</w:t>
                  </w:r>
                  <w:proofErr w:type="spellEnd"/>
                  <w:r>
                    <w:rPr>
                      <w:b/>
                      <w:i/>
                    </w:rPr>
                    <w:t xml:space="preserve">  </w:t>
                  </w:r>
                  <w:proofErr w:type="spellStart"/>
                  <w:r>
                    <w:rPr>
                      <w:b/>
                      <w:i/>
                    </w:rPr>
                    <w:t>serviciilor</w:t>
                  </w:r>
                  <w:proofErr w:type="spellEnd"/>
                  <w:proofErr w:type="gram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412" w:type="dxa"/>
            <w:shd w:val="clear" w:color="auto" w:fill="auto"/>
            <w:vAlign w:val="center"/>
          </w:tcPr>
          <w:p w14:paraId="1C1243FD" w14:textId="7A8C9EA3" w:rsidR="00B41118" w:rsidRPr="00E93379" w:rsidRDefault="004827C9" w:rsidP="00CB76EA">
            <w:pPr>
              <w:ind w:left="-57" w:right="-155"/>
              <w:rPr>
                <w:b/>
                <w:bCs/>
                <w:lang w:val="ro-MD"/>
              </w:rPr>
            </w:pPr>
            <w:r w:rsidRPr="008C551D">
              <w:rPr>
                <w:iCs/>
                <w:sz w:val="21"/>
                <w:szCs w:val="21"/>
              </w:rPr>
              <w:t>Servicii de furnizare a gazelor naturale</w:t>
            </w:r>
            <w:r w:rsidRPr="00E93379">
              <w:rPr>
                <w:b/>
                <w:bCs/>
                <w:lang w:val="ro-MD"/>
              </w:rPr>
              <w:t xml:space="preserve"> </w:t>
            </w:r>
          </w:p>
        </w:tc>
        <w:tc>
          <w:tcPr>
            <w:tcW w:w="1134" w:type="dxa"/>
            <w:shd w:val="clear" w:color="auto" w:fill="auto"/>
            <w:vAlign w:val="center"/>
          </w:tcPr>
          <w:p w14:paraId="03C70147" w14:textId="0E5B1A79" w:rsidR="00B41118" w:rsidRPr="00442711" w:rsidRDefault="0001686D" w:rsidP="00AE077C">
            <w:pPr>
              <w:ind w:left="-57" w:right="-57"/>
              <w:jc w:val="center"/>
              <w:rPr>
                <w:b/>
                <w:bCs/>
                <w:lang w:val="en-US"/>
              </w:rPr>
            </w:pPr>
            <w:r>
              <w:rPr>
                <w:b/>
                <w:bCs/>
                <w:lang w:val="en-US"/>
              </w:rPr>
              <w:t>M</w:t>
            </w:r>
            <w:r w:rsidR="004827C9">
              <w:rPr>
                <w:b/>
                <w:bCs/>
                <w:lang w:val="en-US"/>
              </w:rPr>
              <w:t>3</w:t>
            </w:r>
          </w:p>
        </w:tc>
        <w:tc>
          <w:tcPr>
            <w:tcW w:w="1274" w:type="dxa"/>
            <w:shd w:val="clear" w:color="auto" w:fill="auto"/>
            <w:vAlign w:val="center"/>
          </w:tcPr>
          <w:p w14:paraId="0488B566" w14:textId="06A4ED17" w:rsidR="00B41118" w:rsidRPr="00442711" w:rsidRDefault="00BD0215" w:rsidP="00AE077C">
            <w:pPr>
              <w:ind w:left="-57" w:right="-57"/>
              <w:jc w:val="center"/>
              <w:rPr>
                <w:b/>
                <w:bCs/>
                <w:sz w:val="22"/>
                <w:szCs w:val="22"/>
                <w:lang w:val="en-US"/>
              </w:rPr>
            </w:pPr>
            <w:r>
              <w:rPr>
                <w:b/>
                <w:bCs/>
                <w:sz w:val="22"/>
                <w:szCs w:val="22"/>
                <w:lang w:val="en-US"/>
              </w:rPr>
              <w:t xml:space="preserve">945 </w:t>
            </w:r>
            <w:r w:rsidR="00BA2A12">
              <w:rPr>
                <w:b/>
                <w:bCs/>
                <w:sz w:val="22"/>
                <w:szCs w:val="22"/>
                <w:lang w:val="en-US"/>
              </w:rPr>
              <w:t>000</w:t>
            </w:r>
          </w:p>
        </w:tc>
        <w:tc>
          <w:tcPr>
            <w:tcW w:w="4095" w:type="dxa"/>
            <w:shd w:val="clear" w:color="auto" w:fill="auto"/>
            <w:vAlign w:val="center"/>
          </w:tcPr>
          <w:p w14:paraId="31023642" w14:textId="77777777" w:rsidR="004827C9" w:rsidRPr="008C551D" w:rsidRDefault="004827C9" w:rsidP="004827C9">
            <w:pPr>
              <w:rPr>
                <w:sz w:val="21"/>
                <w:szCs w:val="21"/>
              </w:rPr>
            </w:pPr>
            <w:r w:rsidRPr="008C551D">
              <w:rPr>
                <w:sz w:val="21"/>
                <w:szCs w:val="21"/>
              </w:rPr>
              <w:t>Furnizarea gazelor naturale 24/24 ore, zilnic</w:t>
            </w:r>
          </w:p>
          <w:p w14:paraId="3CE83D8C"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348DE6D9"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42DDD525" w14:textId="77777777" w:rsidR="004827C9" w:rsidRDefault="004827C9" w:rsidP="004827C9">
            <w:pPr>
              <w:widowControl w:val="0"/>
              <w:autoSpaceDE w:val="0"/>
              <w:ind w:right="45"/>
              <w:rPr>
                <w:sz w:val="21"/>
                <w:szCs w:val="21"/>
              </w:rPr>
            </w:pPr>
            <w:r w:rsidRPr="008C551D">
              <w:rPr>
                <w:sz w:val="21"/>
                <w:szCs w:val="21"/>
              </w:rPr>
              <w:t>Presiunea gazelor naturale - medie.</w:t>
            </w:r>
          </w:p>
          <w:p w14:paraId="6810B8FE" w14:textId="19E1E87E"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07CD635E" w14:textId="5A474A1E" w:rsidR="00B41118" w:rsidRPr="00CB76EA" w:rsidRDefault="00B41118" w:rsidP="00CB76EA">
            <w:pPr>
              <w:pStyle w:val="Standard"/>
              <w:spacing w:after="0"/>
              <w:rPr>
                <w:rFonts w:ascii="Times New Roman" w:hAnsi="Times New Roman" w:cs="Times New Roman"/>
                <w:bCs/>
                <w:iCs/>
                <w:lang w:val="ro-RO"/>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55FF97F1"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BA2A12">
              <w:rPr>
                <w:i/>
                <w:sz w:val="22"/>
                <w:szCs w:val="22"/>
              </w:rPr>
              <w:t>214</w:t>
            </w:r>
            <w:r w:rsidR="00823A1B">
              <w:rPr>
                <w:i/>
                <w:sz w:val="22"/>
                <w:szCs w:val="22"/>
              </w:rPr>
              <w:t>/</w:t>
            </w:r>
            <w:r w:rsidR="001514C2">
              <w:rPr>
                <w:i/>
                <w:sz w:val="22"/>
                <w:szCs w:val="22"/>
              </w:rPr>
              <w:t>N</w:t>
            </w:r>
            <w:r w:rsidR="00823A1B">
              <w:rPr>
                <w:i/>
                <w:sz w:val="22"/>
                <w:szCs w:val="22"/>
              </w:rPr>
              <w:t>-</w:t>
            </w:r>
            <w:r w:rsidR="00093616">
              <w:rPr>
                <w:i/>
                <w:sz w:val="22"/>
                <w:szCs w:val="22"/>
              </w:rPr>
              <w:t>2024</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D3AD13F" w14:textId="22FD7F02" w:rsidR="00B41118" w:rsidRPr="009458A7" w:rsidRDefault="004827C9" w:rsidP="00AE077C">
            <w:pPr>
              <w:tabs>
                <w:tab w:val="left" w:pos="372"/>
              </w:tabs>
              <w:suppressAutoHyphens/>
              <w:rPr>
                <w:bCs/>
                <w:i/>
              </w:rPr>
            </w:pPr>
            <w:r w:rsidRPr="008C551D">
              <w:rPr>
                <w:i/>
                <w:iCs/>
                <w:sz w:val="21"/>
                <w:szCs w:val="21"/>
              </w:rPr>
              <w:t xml:space="preserve">servicii de furnizare  a gazelor naturale pentru </w:t>
            </w:r>
            <w:r w:rsidR="00A63628">
              <w:rPr>
                <w:i/>
                <w:iCs/>
                <w:sz w:val="21"/>
                <w:szCs w:val="21"/>
              </w:rPr>
              <w:t xml:space="preserve">perioada </w:t>
            </w:r>
            <w:r w:rsidR="00A63628" w:rsidRPr="00A63628">
              <w:rPr>
                <w:b/>
                <w:bCs/>
                <w:i/>
                <w:iCs/>
                <w:sz w:val="21"/>
                <w:szCs w:val="21"/>
              </w:rPr>
              <w:t>01-</w:t>
            </w:r>
            <w:r w:rsidR="003F5BFB">
              <w:rPr>
                <w:b/>
                <w:bCs/>
                <w:i/>
                <w:iCs/>
                <w:sz w:val="21"/>
                <w:szCs w:val="21"/>
              </w:rPr>
              <w:t>31</w:t>
            </w:r>
            <w:r w:rsidR="00975F7A">
              <w:rPr>
                <w:b/>
                <w:bCs/>
                <w:i/>
                <w:iCs/>
                <w:sz w:val="21"/>
                <w:szCs w:val="21"/>
              </w:rPr>
              <w:t xml:space="preserve"> </w:t>
            </w:r>
            <w:r w:rsidR="00BA2A12">
              <w:rPr>
                <w:b/>
                <w:bCs/>
                <w:i/>
                <w:iCs/>
                <w:sz w:val="21"/>
                <w:szCs w:val="21"/>
              </w:rPr>
              <w:t>ianuarie</w:t>
            </w:r>
            <w:r w:rsidRPr="008C551D">
              <w:rPr>
                <w:i/>
                <w:iCs/>
                <w:sz w:val="21"/>
                <w:szCs w:val="21"/>
              </w:rPr>
              <w:t xml:space="preserve"> </w:t>
            </w:r>
            <w:r w:rsidR="00A63628" w:rsidRPr="00093616">
              <w:rPr>
                <w:b/>
                <w:bCs/>
                <w:i/>
                <w:iCs/>
                <w:sz w:val="21"/>
                <w:szCs w:val="21"/>
              </w:rPr>
              <w:t>202</w:t>
            </w:r>
            <w:r w:rsidR="00BA2A12">
              <w:rPr>
                <w:b/>
                <w:bCs/>
                <w:i/>
                <w:iCs/>
                <w:sz w:val="21"/>
                <w:szCs w:val="21"/>
              </w:rPr>
              <w:t>5</w:t>
            </w: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736A63BF" w:rsidR="00B41118" w:rsidRPr="009458A7" w:rsidRDefault="00BF2900" w:rsidP="00AE077C">
            <w:pPr>
              <w:tabs>
                <w:tab w:val="left" w:pos="372"/>
              </w:tabs>
              <w:suppressAutoHyphens/>
              <w:rPr>
                <w:bCs/>
                <w:i/>
                <w:iCs/>
              </w:rPr>
            </w:pP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E9D30CB" w:rsidR="00B41118" w:rsidRPr="00926CEB" w:rsidRDefault="00516C0A" w:rsidP="002724A2">
            <w:pPr>
              <w:tabs>
                <w:tab w:val="left" w:pos="372"/>
              </w:tabs>
              <w:suppressAutoHyphens/>
              <w:rPr>
                <w:bCs/>
                <w:i/>
                <w:spacing w:val="-4"/>
              </w:rPr>
            </w:pPr>
            <w:r w:rsidRPr="00A74CFE">
              <w:rPr>
                <w:i/>
                <w:iCs/>
              </w:rPr>
              <w:t xml:space="preserve"> </w:t>
            </w:r>
            <w:r>
              <w:rPr>
                <w:i/>
                <w:iCs/>
              </w:rPr>
              <w:t xml:space="preserve">în termen  de până la </w:t>
            </w:r>
            <w:r w:rsidR="00ED2F79">
              <w:rPr>
                <w:i/>
                <w:iCs/>
              </w:rPr>
              <w:t>30</w:t>
            </w:r>
            <w:r>
              <w:rPr>
                <w:i/>
                <w:iCs/>
              </w:rPr>
              <w:t xml:space="preserve">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7F9A3428"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E2890">
              <w:rPr>
                <w:b/>
                <w:shd w:val="clear" w:color="auto" w:fill="FFFFFF" w:themeFill="background1"/>
              </w:rPr>
              <w:t>14-00</w:t>
            </w:r>
          </w:p>
          <w:p w14:paraId="472EC16C" w14:textId="085ECABD"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BA2A12">
              <w:rPr>
                <w:b/>
              </w:rPr>
              <w:t>05.12.2024</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5475CC84"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BD0215">
              <w:rPr>
                <w:b/>
                <w:shd w:val="clear" w:color="auto" w:fill="FFFFFF" w:themeFill="background1"/>
              </w:rPr>
              <w:t>14-30</w:t>
            </w:r>
          </w:p>
          <w:p w14:paraId="05690DAE" w14:textId="01CDE9C7" w:rsidR="00F713D1" w:rsidRPr="00823A1B" w:rsidRDefault="00F713D1" w:rsidP="0001686D">
            <w:pPr>
              <w:pStyle w:val="a"/>
              <w:numPr>
                <w:ilvl w:val="0"/>
                <w:numId w:val="0"/>
              </w:numPr>
              <w:ind w:left="720"/>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BA2A12">
              <w:rPr>
                <w:b/>
              </w:rPr>
              <w:t>05.12.2024</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7EF0A88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E2890">
              <w:rPr>
                <w:b/>
                <w:shd w:val="clear" w:color="auto" w:fill="FFFFFF" w:themeFill="background1"/>
              </w:rPr>
              <w:t>14-00</w:t>
            </w:r>
          </w:p>
          <w:p w14:paraId="05342B28" w14:textId="390007FE"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BA2A12">
              <w:rPr>
                <w:b/>
              </w:rPr>
              <w:t>05.12.2024</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3DE88307"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BA2A12">
              <w:rPr>
                <w:i/>
                <w:color w:val="000000" w:themeColor="text1"/>
                <w:sz w:val="22"/>
                <w:szCs w:val="22"/>
              </w:rPr>
              <w:t>214</w:t>
            </w:r>
            <w:r w:rsidR="00093616">
              <w:rPr>
                <w:i/>
                <w:color w:val="000000" w:themeColor="text1"/>
                <w:sz w:val="22"/>
                <w:szCs w:val="22"/>
              </w:rPr>
              <w:t>/</w:t>
            </w:r>
            <w:r w:rsidR="001514C2">
              <w:rPr>
                <w:i/>
                <w:color w:val="000000" w:themeColor="text1"/>
                <w:sz w:val="22"/>
                <w:szCs w:val="22"/>
              </w:rPr>
              <w:t>N</w:t>
            </w:r>
            <w:r w:rsidR="00093616">
              <w:rPr>
                <w:i/>
                <w:color w:val="000000" w:themeColor="text1"/>
                <w:sz w:val="22"/>
                <w:szCs w:val="22"/>
              </w:rPr>
              <w:t>-2024</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41AD9DBC" w:rsidR="004762E5" w:rsidRPr="00C00499" w:rsidRDefault="004762E5" w:rsidP="00552489">
            <w:pPr>
              <w:tabs>
                <w:tab w:val="right" w:pos="4320"/>
                <w:tab w:val="right" w:pos="9360"/>
              </w:tabs>
              <w:spacing w:line="360" w:lineRule="auto"/>
              <w:ind w:right="660"/>
              <w:jc w:val="both"/>
            </w:pPr>
            <w:r w:rsidRPr="00C00499">
              <w:t>Licitaţia Nr.:</w:t>
            </w:r>
            <w:r w:rsidR="00BD0215">
              <w:t>191</w:t>
            </w:r>
            <w:r w:rsidR="00093616">
              <w:t>/</w:t>
            </w:r>
            <w:r w:rsidR="001514C2">
              <w:t>N</w:t>
            </w:r>
            <w:r w:rsidR="00093616">
              <w:t>-2024</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41C77B98" w:rsidR="00B41118" w:rsidRPr="00C00499" w:rsidRDefault="00B41118" w:rsidP="00AE077C">
            <w:r w:rsidRPr="00C00499">
              <w:t xml:space="preserve">Denumirea </w:t>
            </w:r>
            <w:r>
              <w:t>procedurii de achiziție</w:t>
            </w:r>
            <w:r w:rsidRPr="00C00499">
              <w:t>:</w:t>
            </w:r>
            <w:r w:rsidR="00742F83">
              <w:t xml:space="preserve"> </w:t>
            </w:r>
            <w:r w:rsidR="001514C2">
              <w:t>Negociere</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A3731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97C46AD" w:rsidR="004A4B59" w:rsidRPr="0001686D" w:rsidRDefault="004827C9" w:rsidP="00CB76EA">
            <w:pPr>
              <w:rPr>
                <w:b/>
                <w:bCs/>
                <w:sz w:val="20"/>
                <w:szCs w:val="20"/>
                <w:lang w:val="ro-MD"/>
              </w:rPr>
            </w:pPr>
            <w:r w:rsidRPr="008C551D">
              <w:rPr>
                <w:iCs/>
                <w:sz w:val="21"/>
                <w:szCs w:val="21"/>
              </w:rPr>
              <w:t>Servicii de furnizare a gazelor naturale</w:t>
            </w:r>
            <w:r w:rsidRPr="0001686D">
              <w:rPr>
                <w:b/>
                <w:bCs/>
                <w:sz w:val="20"/>
                <w:szCs w:val="20"/>
                <w:lang w:val="ro-MD"/>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8AA23F9" w:rsidR="004A4B59" w:rsidRPr="00C00499" w:rsidRDefault="004827C9" w:rsidP="004A4B59">
            <w: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5ABD9B66" w14:textId="77777777" w:rsidR="004827C9" w:rsidRPr="008C551D" w:rsidRDefault="004827C9" w:rsidP="004827C9">
            <w:pPr>
              <w:rPr>
                <w:sz w:val="21"/>
                <w:szCs w:val="21"/>
              </w:rPr>
            </w:pPr>
            <w:r w:rsidRPr="008C551D">
              <w:rPr>
                <w:sz w:val="21"/>
                <w:szCs w:val="21"/>
              </w:rPr>
              <w:t>Furnizarea gazelor naturale 24/24 ore, zilnic</w:t>
            </w:r>
          </w:p>
          <w:p w14:paraId="36FF769D"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017647B8"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31AA19CA" w14:textId="77777777" w:rsidR="004827C9" w:rsidRDefault="004827C9" w:rsidP="004827C9">
            <w:pPr>
              <w:widowControl w:val="0"/>
              <w:autoSpaceDE w:val="0"/>
              <w:ind w:right="45"/>
              <w:rPr>
                <w:sz w:val="21"/>
                <w:szCs w:val="21"/>
              </w:rPr>
            </w:pPr>
            <w:r w:rsidRPr="008C551D">
              <w:rPr>
                <w:sz w:val="21"/>
                <w:szCs w:val="21"/>
              </w:rPr>
              <w:t>Presiunea gazelor naturale - medie.</w:t>
            </w:r>
          </w:p>
          <w:p w14:paraId="25BC8C46" w14:textId="15F809BF"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268FD21D" w14:textId="3233081C" w:rsidR="004A4B59" w:rsidRPr="004A4B59" w:rsidRDefault="004A4B59" w:rsidP="004A4B59">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tcPr>
          <w:p w14:paraId="61592256" w14:textId="77777777" w:rsidR="00A37311" w:rsidRPr="00A37311" w:rsidRDefault="00A37311" w:rsidP="00A37311">
            <w:pPr>
              <w:pStyle w:val="1"/>
              <w:numPr>
                <w:ilvl w:val="0"/>
                <w:numId w:val="0"/>
              </w:numPr>
              <w:shd w:val="clear" w:color="auto" w:fill="FFFFFF"/>
              <w:ind w:left="720" w:hanging="544"/>
              <w:jc w:val="both"/>
              <w:rPr>
                <w:b w:val="0"/>
                <w:noProof/>
                <w:sz w:val="21"/>
                <w:szCs w:val="21"/>
                <w:lang w:val="ro-RO"/>
              </w:rPr>
            </w:pPr>
            <w:r w:rsidRPr="00A37311">
              <w:rPr>
                <w:b w:val="0"/>
                <w:noProof/>
                <w:sz w:val="21"/>
                <w:szCs w:val="21"/>
                <w:lang w:val="ro-RO"/>
              </w:rPr>
              <w:t>SR EN ISO 13443:2005</w:t>
            </w:r>
          </w:p>
          <w:p w14:paraId="70DDC8A3" w14:textId="33B5DC9E" w:rsidR="004827C9" w:rsidRPr="008C551D" w:rsidRDefault="004827C9" w:rsidP="004827C9">
            <w:pPr>
              <w:rPr>
                <w:sz w:val="21"/>
                <w:szCs w:val="21"/>
              </w:rPr>
            </w:pPr>
            <w:r>
              <w:rPr>
                <w:sz w:val="21"/>
                <w:szCs w:val="21"/>
              </w:rPr>
              <w:t>P</w:t>
            </w:r>
            <w:r w:rsidRPr="008C551D">
              <w:rPr>
                <w:sz w:val="21"/>
                <w:szCs w:val="21"/>
              </w:rPr>
              <w:t>arametrii de calitate stabilit prin Legea nr.108/2016 cu privire la gazele naturale</w:t>
            </w:r>
            <w:r>
              <w:rPr>
                <w:sz w:val="21"/>
                <w:szCs w:val="21"/>
              </w:rPr>
              <w:t xml:space="preserve">, </w:t>
            </w:r>
            <w:r w:rsidRPr="008C551D">
              <w:rPr>
                <w:sz w:val="21"/>
                <w:szCs w:val="21"/>
              </w:rPr>
              <w:t xml:space="preserve"> Regulamentul privind furnizarea gazelor naturale, aprobat prin Hotărârea ANRE nr.113/2019 și Regulamentul privind racordarea la rețelele de gaze naturale și presta</w:t>
            </w:r>
            <w:r>
              <w:rPr>
                <w:sz w:val="21"/>
                <w:szCs w:val="21"/>
              </w:rPr>
              <w:t>r</w:t>
            </w:r>
            <w:r w:rsidRPr="008C551D">
              <w:rPr>
                <w:sz w:val="21"/>
                <w:szCs w:val="21"/>
              </w:rPr>
              <w:t>ea serviciilor de transport și de distribuție a gazelor naturale, aprobat prin Hotărârea ANRE nr.112/2019,Hotărărea nr.503 din 09.11.2021.</w:t>
            </w:r>
          </w:p>
          <w:p w14:paraId="2091227D" w14:textId="076715A5"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926CEB" w:rsidRPr="00926CEB" w:rsidRDefault="00926CEB" w:rsidP="00BA2A12">
                  <w:pPr>
                    <w:framePr w:hSpace="180" w:wrap="around" w:vAnchor="page" w:hAnchor="margin" w:y="347"/>
                  </w:pPr>
                  <w:bookmarkStart w:id="33" w:name="_Toc392180207"/>
                  <w:bookmarkStart w:id="34" w:name="_Toc449539096"/>
                </w:p>
                <w:p w14:paraId="4E6EF235" w14:textId="77777777" w:rsidR="004A4B59" w:rsidRPr="00C00499" w:rsidRDefault="004A4B59" w:rsidP="00BA2A12">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BA2A12">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A4B59" w:rsidRPr="00C00499" w:rsidRDefault="004A4B59" w:rsidP="00BA2A12">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BA2A12">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47CB0A90" w:rsidR="004A4B59" w:rsidRPr="00C00499" w:rsidRDefault="004A4B59" w:rsidP="00BA2A12">
                  <w:pPr>
                    <w:framePr w:hSpace="180" w:wrap="around" w:vAnchor="page" w:hAnchor="margin" w:y="347"/>
                  </w:pPr>
                  <w:r w:rsidRPr="00C00499">
                    <w:t xml:space="preserve">Denumirea </w:t>
                  </w:r>
                  <w:r>
                    <w:t xml:space="preserve"> procedurii de achiziție</w:t>
                  </w:r>
                  <w:r w:rsidRPr="00C00499">
                    <w:t>:</w:t>
                  </w:r>
                  <w:r>
                    <w:t xml:space="preserve"> </w:t>
                  </w:r>
                  <w:r w:rsidR="001514C2">
                    <w:t>Negociere</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BA2A12">
                  <w:pPr>
                    <w:framePr w:hSpace="180" w:wrap="around" w:vAnchor="page" w:hAnchor="margin" w:y="347"/>
                  </w:pPr>
                </w:p>
              </w:tc>
              <w:tc>
                <w:tcPr>
                  <w:tcW w:w="1836" w:type="dxa"/>
                </w:tcPr>
                <w:p w14:paraId="1C8861D1" w14:textId="77777777" w:rsidR="004A4B59" w:rsidRPr="00C00499" w:rsidRDefault="004A4B59" w:rsidP="00BA2A12">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BA2A12">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BA2A12">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BA2A12">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BA2A12">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BA2A12">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BA2A12">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BA2A12">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BA2A12">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BA2A12">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BA2A12">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BA2A12">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BA2A12">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BA2A12">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BA2A12">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BA2A12">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BA2A12">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BA2A12">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BA2A12">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BA2A12">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BA2A12">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BA2A12">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BA2A12">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BA2A12">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BA2A12">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BA2A12">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BA2A12">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BA2A12">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BA2A1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BA2A12">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BA2A1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BA2A1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BA2A1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BA2A1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BA2A1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BA2A1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BA2A12">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BA2A12">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5F876940" w:rsidR="004A4B59" w:rsidRPr="0001686D" w:rsidRDefault="004827C9" w:rsidP="00BA2A12">
                  <w:pPr>
                    <w:framePr w:hSpace="180" w:wrap="around" w:vAnchor="page" w:hAnchor="margin" w:y="347"/>
                    <w:rPr>
                      <w:sz w:val="18"/>
                      <w:szCs w:val="18"/>
                      <w:lang w:val="ro-MD"/>
                    </w:rPr>
                  </w:pPr>
                  <w:r w:rsidRPr="008C551D">
                    <w:rPr>
                      <w:iCs/>
                      <w:sz w:val="21"/>
                      <w:szCs w:val="21"/>
                    </w:rPr>
                    <w:t>Servicii de furnizare a gazelor naturale</w:t>
                  </w:r>
                  <w:r w:rsidRPr="0001686D">
                    <w:rPr>
                      <w:b/>
                      <w:bCs/>
                      <w:sz w:val="20"/>
                      <w:szCs w:val="20"/>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A2F66DF" w:rsidR="004A4B59" w:rsidRPr="00691D5E" w:rsidRDefault="0001686D" w:rsidP="00BA2A12">
                  <w:pPr>
                    <w:framePr w:hSpace="180" w:wrap="around" w:vAnchor="page" w:hAnchor="margin" w:y="347"/>
                    <w:rPr>
                      <w:sz w:val="18"/>
                      <w:szCs w:val="18"/>
                    </w:rPr>
                  </w:pPr>
                  <w:r>
                    <w:rPr>
                      <w:sz w:val="18"/>
                      <w:szCs w:val="18"/>
                    </w:rPr>
                    <w:t>M</w:t>
                  </w:r>
                  <w:r w:rsidR="004827C9">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4A4B59" w:rsidRPr="00691D5E" w:rsidRDefault="004A4B59" w:rsidP="00BA2A12">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BA2A1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BA2A1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BA2A1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BA2A1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019D026" w:rsidR="004A4B59" w:rsidRPr="005849C7" w:rsidRDefault="004827C9" w:rsidP="00BA2A12">
                  <w:pPr>
                    <w:framePr w:hSpace="180" w:wrap="around" w:vAnchor="page" w:hAnchor="margin" w:y="347"/>
                    <w:jc w:val="both"/>
                    <w:rPr>
                      <w:sz w:val="16"/>
                      <w:szCs w:val="16"/>
                    </w:rPr>
                  </w:pPr>
                  <w:r w:rsidRPr="008C551D">
                    <w:rPr>
                      <w:i/>
                      <w:iCs/>
                      <w:sz w:val="21"/>
                      <w:szCs w:val="21"/>
                    </w:rPr>
                    <w:t xml:space="preserve">servicii de furnizare  a gazelor naturale pentru </w:t>
                  </w:r>
                  <w:r w:rsidR="00ED2F79">
                    <w:rPr>
                      <w:i/>
                      <w:iCs/>
                      <w:sz w:val="21"/>
                      <w:szCs w:val="21"/>
                    </w:rPr>
                    <w:t>perioada 01-</w:t>
                  </w:r>
                  <w:r w:rsidR="003F5BFB">
                    <w:rPr>
                      <w:i/>
                      <w:iCs/>
                      <w:sz w:val="21"/>
                      <w:szCs w:val="21"/>
                    </w:rPr>
                    <w:t>31</w:t>
                  </w:r>
                  <w:r w:rsidR="00975F7A">
                    <w:rPr>
                      <w:i/>
                      <w:iCs/>
                      <w:sz w:val="21"/>
                      <w:szCs w:val="21"/>
                    </w:rPr>
                    <w:t xml:space="preserve"> </w:t>
                  </w:r>
                  <w:r w:rsidR="00BA2A12">
                    <w:rPr>
                      <w:i/>
                      <w:iCs/>
                      <w:sz w:val="21"/>
                      <w:szCs w:val="21"/>
                    </w:rPr>
                    <w:t>ianuarie</w:t>
                  </w:r>
                  <w:r w:rsidR="00ED2F79">
                    <w:rPr>
                      <w:i/>
                      <w:iCs/>
                      <w:sz w:val="21"/>
                      <w:szCs w:val="21"/>
                    </w:rPr>
                    <w:t xml:space="preserve"> </w:t>
                  </w:r>
                  <w:r w:rsidR="00A07571">
                    <w:rPr>
                      <w:i/>
                      <w:iCs/>
                      <w:sz w:val="21"/>
                      <w:szCs w:val="21"/>
                    </w:rPr>
                    <w:t>202</w:t>
                  </w:r>
                  <w:r w:rsidR="00BA2A12">
                    <w:rPr>
                      <w:i/>
                      <w:iCs/>
                      <w:sz w:val="21"/>
                      <w:szCs w:val="21"/>
                    </w:rPr>
                    <w:t>5</w:t>
                  </w: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BA2A12">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BA2A12">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BA2A12">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BA2A12">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BA2A12">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BA2A12">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BA2A12">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BA2A12">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BA2A12">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BA2A12">
                  <w:pPr>
                    <w:framePr w:hSpace="180" w:wrap="around" w:vAnchor="page" w:hAnchor="margin" w:y="347"/>
                    <w:tabs>
                      <w:tab w:val="left" w:pos="6120"/>
                    </w:tabs>
                    <w:rPr>
                      <w:sz w:val="20"/>
                    </w:rPr>
                  </w:pPr>
                </w:p>
                <w:p w14:paraId="2E7BB796" w14:textId="77777777" w:rsidR="005849C7" w:rsidRPr="0028367D" w:rsidRDefault="005849C7" w:rsidP="00BA2A12">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BA2A12">
                  <w:pPr>
                    <w:framePr w:hSpace="180" w:wrap="around" w:vAnchor="page" w:hAnchor="margin" w:y="347"/>
                    <w:rPr>
                      <w:sz w:val="20"/>
                    </w:rPr>
                  </w:pPr>
                </w:p>
                <w:p w14:paraId="1029A9A5" w14:textId="4360CD36" w:rsidR="005849C7" w:rsidRPr="0028367D" w:rsidRDefault="005849C7" w:rsidP="00BA2A12">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BA2A12">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BA2A12">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5A33" w14:textId="77777777" w:rsidR="00EC645C" w:rsidRDefault="00EC645C" w:rsidP="00B41118">
      <w:r>
        <w:separator/>
      </w:r>
    </w:p>
  </w:endnote>
  <w:endnote w:type="continuationSeparator" w:id="0">
    <w:p w14:paraId="5F02188A" w14:textId="77777777" w:rsidR="00EC645C" w:rsidRDefault="00EC645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551C8" w14:textId="77777777" w:rsidR="00EC645C" w:rsidRDefault="00EC645C" w:rsidP="00B41118">
      <w:r>
        <w:separator/>
      </w:r>
    </w:p>
  </w:footnote>
  <w:footnote w:type="continuationSeparator" w:id="0">
    <w:p w14:paraId="202E68F8" w14:textId="77777777" w:rsidR="00EC645C" w:rsidRDefault="00EC645C"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B4A02"/>
    <w:rsid w:val="000C05DD"/>
    <w:rsid w:val="000C0843"/>
    <w:rsid w:val="000D0527"/>
    <w:rsid w:val="000D1238"/>
    <w:rsid w:val="000F6CC7"/>
    <w:rsid w:val="00116B60"/>
    <w:rsid w:val="00126D0C"/>
    <w:rsid w:val="00135974"/>
    <w:rsid w:val="00140A5D"/>
    <w:rsid w:val="0014104F"/>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B492B"/>
    <w:rsid w:val="006B6D88"/>
    <w:rsid w:val="006B7E7E"/>
    <w:rsid w:val="006D7723"/>
    <w:rsid w:val="006E4365"/>
    <w:rsid w:val="00700F39"/>
    <w:rsid w:val="00712638"/>
    <w:rsid w:val="00723E66"/>
    <w:rsid w:val="007252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23A1B"/>
    <w:rsid w:val="008265C7"/>
    <w:rsid w:val="00856FBF"/>
    <w:rsid w:val="00857671"/>
    <w:rsid w:val="00867A1D"/>
    <w:rsid w:val="00870DB0"/>
    <w:rsid w:val="00873C90"/>
    <w:rsid w:val="00874386"/>
    <w:rsid w:val="00874C9F"/>
    <w:rsid w:val="00883F5C"/>
    <w:rsid w:val="00886F72"/>
    <w:rsid w:val="00893741"/>
    <w:rsid w:val="00893948"/>
    <w:rsid w:val="008A480C"/>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0B49"/>
    <w:rsid w:val="00CA2C17"/>
    <w:rsid w:val="00CA4EB4"/>
    <w:rsid w:val="00CA70B0"/>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B1203"/>
    <w:rsid w:val="00DB5013"/>
    <w:rsid w:val="00DD144F"/>
    <w:rsid w:val="00DD60F5"/>
    <w:rsid w:val="00DE491B"/>
    <w:rsid w:val="00DF0397"/>
    <w:rsid w:val="00DF5458"/>
    <w:rsid w:val="00E245A4"/>
    <w:rsid w:val="00E323C7"/>
    <w:rsid w:val="00E43997"/>
    <w:rsid w:val="00E50C30"/>
    <w:rsid w:val="00E550D6"/>
    <w:rsid w:val="00E5627C"/>
    <w:rsid w:val="00E61395"/>
    <w:rsid w:val="00E6227E"/>
    <w:rsid w:val="00E674F0"/>
    <w:rsid w:val="00E74A0A"/>
    <w:rsid w:val="00E876A4"/>
    <w:rsid w:val="00E91C02"/>
    <w:rsid w:val="00E93379"/>
    <w:rsid w:val="00E9672E"/>
    <w:rsid w:val="00EA1F8A"/>
    <w:rsid w:val="00EA44A1"/>
    <w:rsid w:val="00EB272D"/>
    <w:rsid w:val="00EB6027"/>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3424</Words>
  <Characters>19519</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2024-12-03T06:48:00Z</dcterms:created>
  <dcterms:modified xsi:type="dcterms:W3CDTF">2024-12-03T06:48:00Z</dcterms:modified>
</cp:coreProperties>
</file>